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1E43539" w14:textId="1CFAC340" w:rsidR="00881520" w:rsidRPr="00AE4764" w:rsidRDefault="00F378AD" w:rsidP="00AE0768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5C89F868" w14:textId="138C1CC5" w:rsidR="00993245" w:rsidRPr="00A5292F" w:rsidRDefault="00AE6C53" w:rsidP="00AE076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2A863F1D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6E3681">
        <w:rPr>
          <w:rFonts w:ascii="Times New Roman" w:hAnsi="Times New Roman" w:cs="B Nazanin" w:hint="cs"/>
          <w:sz w:val="20"/>
          <w:szCs w:val="28"/>
          <w:rtl/>
          <w:lang w:bidi="fa-IR"/>
        </w:rPr>
        <w:t>بارداری طبیعی</w:t>
      </w:r>
    </w:p>
    <w:p w14:paraId="3BE85335" w14:textId="0256E55B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6E3681">
        <w:rPr>
          <w:rFonts w:ascii="Times New Roman" w:hAnsi="Times New Roman" w:cs="B Nazanin" w:hint="cs"/>
          <w:sz w:val="20"/>
          <w:szCs w:val="28"/>
          <w:rtl/>
          <w:lang w:bidi="fa-IR"/>
        </w:rPr>
        <w:t>بیمارستان آرش،یاس، ولی عصر</w:t>
      </w:r>
    </w:p>
    <w:p w14:paraId="5ACCE701" w14:textId="7888E2A0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6E3681">
        <w:rPr>
          <w:rFonts w:ascii="Times New Roman" w:hAnsi="Times New Roman" w:cs="B Nazanin" w:hint="cs"/>
          <w:sz w:val="20"/>
          <w:szCs w:val="28"/>
          <w:rtl/>
          <w:lang w:bidi="fa-IR"/>
        </w:rPr>
        <w:t>درمانگاه پره ناتال</w:t>
      </w:r>
    </w:p>
    <w:p w14:paraId="01C6E789" w14:textId="62843BF6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6E3681">
        <w:rPr>
          <w:rFonts w:ascii="Times New Roman" w:hAnsi="Times New Roman" w:cs="B Nazanin" w:hint="cs"/>
          <w:sz w:val="20"/>
          <w:szCs w:val="28"/>
          <w:rtl/>
          <w:lang w:bidi="fa-IR"/>
        </w:rPr>
        <w:t>دکتر هاشم زاده</w:t>
      </w:r>
    </w:p>
    <w:p w14:paraId="46AD21E6" w14:textId="42593824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6E3681">
        <w:rPr>
          <w:rFonts w:ascii="Times New Roman" w:hAnsi="Times New Roman" w:cs="B Nazanin" w:hint="cs"/>
          <w:sz w:val="20"/>
          <w:szCs w:val="28"/>
          <w:rtl/>
          <w:lang w:bidi="fa-IR"/>
        </w:rPr>
        <w:t>دکتر اسدی، خانم شمسی، دکتر هاشم زاده</w:t>
      </w:r>
    </w:p>
    <w:p w14:paraId="7AFA580F" w14:textId="09FD9D72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6E3681">
        <w:rPr>
          <w:rFonts w:ascii="Times New Roman" w:hAnsi="Times New Roman" w:cs="B Nazanin" w:hint="cs"/>
          <w:sz w:val="20"/>
          <w:szCs w:val="28"/>
          <w:rtl/>
          <w:lang w:bidi="fa-IR"/>
        </w:rPr>
        <w:t>61054212</w:t>
      </w:r>
    </w:p>
    <w:p w14:paraId="711130AE" w14:textId="7D5B34EB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6E3681">
        <w:rPr>
          <w:rFonts w:ascii="Times New Roman" w:hAnsi="Times New Roman" w:cs="B Nazanin" w:hint="cs"/>
          <w:sz w:val="20"/>
          <w:szCs w:val="28"/>
          <w:rtl/>
          <w:lang w:bidi="fa-IR"/>
        </w:rPr>
        <w:t>طول نیمسال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870116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77777777" w:rsidR="00993245" w:rsidRPr="00870116" w:rsidRDefault="00993245" w:rsidP="00993245">
      <w:pPr>
        <w:bidi/>
        <w:spacing w:after="0"/>
        <w:jc w:val="both"/>
        <w:rPr>
          <w:rFonts w:ascii="Times New Roman" w:hAnsi="Times New Roman" w:cs="IranNastaliq"/>
          <w:bCs/>
          <w:sz w:val="24"/>
          <w:szCs w:val="24"/>
          <w:rtl/>
          <w:lang w:bidi="fa-IR"/>
        </w:rPr>
      </w:pPr>
    </w:p>
    <w:p w14:paraId="353D0813" w14:textId="1C3BADC9" w:rsidR="002234CF" w:rsidRPr="00870116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870116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2"/>
      </w:r>
      <w:r w:rsidR="00655ABC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53DCC92" w14:textId="210D2542" w:rsidR="006E3681" w:rsidRPr="00A17410" w:rsidRDefault="006E3681" w:rsidP="006E368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بتواند آزمایشات مورد نیاز در بارداری طبیعی را درخواست کند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1EDDD768" w14:textId="162E997F" w:rsidR="006E3681" w:rsidRPr="00A17410" w:rsidRDefault="006E3681" w:rsidP="006E368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بتواند آزمایشات مورد نیاز در بارداری طبیعی را تفسیر کند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3F9D6681" w14:textId="09E46C5E" w:rsidR="006E3681" w:rsidRPr="00A17410" w:rsidRDefault="006E3681" w:rsidP="006E368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بتواند غربالگریها را درخواست کند، تفسیر نماید و در صورت نیاز ارجاع دهد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147245C6" w14:textId="1D9B03EC" w:rsidR="006E3681" w:rsidRPr="00A17410" w:rsidRDefault="006E3681" w:rsidP="006E368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lastRenderedPageBreak/>
        <w:t>بتواند درخصوص مشکلات شایع بارداری مشاوره های لازم را ارائه دهد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3666E54C" w14:textId="122CA301" w:rsidR="0023212B" w:rsidRPr="00A17410" w:rsidRDefault="0023212B" w:rsidP="00A17410">
      <w:pPr>
        <w:bidi/>
        <w:spacing w:after="0"/>
        <w:jc w:val="both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بتواند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فرم</w:t>
      </w: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شرح حال مادر باردار را </w:t>
      </w: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تکمیل کند.</w:t>
      </w:r>
    </w:p>
    <w:p w14:paraId="55762033" w14:textId="2449C4DA" w:rsidR="00A17410" w:rsidRPr="00A17410" w:rsidRDefault="00A17410" w:rsidP="00A17410">
      <w:pPr>
        <w:bidi/>
        <w:spacing w:after="0"/>
        <w:jc w:val="both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بتواند سن بارداری را محاسبه کند.</w:t>
      </w:r>
    </w:p>
    <w:p w14:paraId="3D11A029" w14:textId="519F94E4" w:rsidR="00A17410" w:rsidRPr="00A17410" w:rsidRDefault="00A17410" w:rsidP="00A17410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معاینات مربوط به مادر باردار را انجام دهد.</w:t>
      </w:r>
    </w:p>
    <w:p w14:paraId="01387934" w14:textId="76BE41CF" w:rsidR="00AE0768" w:rsidRPr="00A17410" w:rsidRDefault="006E3681" w:rsidP="006E368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بتواند تاثیر بیماریهای مختلف بر بارداری را تشخیص دهد، مدیریت کند و ارجاع دهد</w:t>
      </w:r>
      <w:r w:rsidR="00A17410" w:rsidRPr="00A17410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5A574B41" w14:textId="40561994" w:rsidR="00993245" w:rsidRPr="00870116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 w:rsidRPr="00870116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3"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1EED999" w14:textId="77777777" w:rsidR="00993245" w:rsidRPr="00A17410" w:rsidRDefault="00993245" w:rsidP="00993245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A174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فعالیت</w:t>
      </w:r>
      <w:r w:rsidRPr="00A174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 xml:space="preserve">های یاددهی- </w:t>
      </w:r>
      <w:r w:rsidR="0082676D" w:rsidRPr="00A174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یادگیری متناظر با پیامد یادگیری </w:t>
      </w:r>
      <w:r w:rsidRPr="00A174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....: </w:t>
      </w:r>
    </w:p>
    <w:p w14:paraId="04E1480C" w14:textId="77777777" w:rsidR="006E3681" w:rsidRPr="00A17410" w:rsidRDefault="006E3681" w:rsidP="006E368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17410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A1741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یاددهی: استفاده از </w:t>
      </w:r>
      <w:r w:rsidRPr="00A1741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A17410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 کوچک، سناریو، آموزش</w:t>
      </w:r>
      <w:r w:rsidRPr="00A1741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1741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 ، آموزش مستقیم در حین ویزیت بیمار </w:t>
      </w:r>
    </w:p>
    <w:p w14:paraId="6E8E65E0" w14:textId="488E5A22" w:rsidR="00AE0768" w:rsidRPr="00A17410" w:rsidRDefault="006E3681" w:rsidP="006E368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17410">
        <w:rPr>
          <w:rFonts w:asciiTheme="majorBidi" w:hAnsiTheme="majorBidi" w:cs="B Nazanin" w:hint="cs"/>
          <w:sz w:val="24"/>
          <w:szCs w:val="24"/>
          <w:rtl/>
          <w:lang w:bidi="fa-IR"/>
        </w:rPr>
        <w:t>یادگیری متناظر با پیامد یادگیری ....: شرکت فعال و به موقع در کارآموزی، شرکت در پرسش و پاسخها</w:t>
      </w:r>
    </w:p>
    <w:p w14:paraId="6AC7F15C" w14:textId="4D70B87E" w:rsidR="00993245" w:rsidRPr="00870116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870116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67E74619" w14:textId="1EF16490" w:rsidR="00AE0768" w:rsidRPr="00A17410" w:rsidRDefault="006E3681" w:rsidP="00A17410">
      <w:p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rtl/>
          <w:lang w:bidi="fa-IR"/>
        </w:rPr>
      </w:pPr>
      <w:r w:rsidRPr="00A17410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حضور  به موقع و با  رعایت  پوشش حرفه ای    و کارت شناسایی. رعایت   نکات اخلاقی و همچنین ارتباط مناسب    با   دانشجویان، استاد،  پرسنل و </w:t>
      </w:r>
      <w:r w:rsidR="00A17410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مادران</w:t>
      </w:r>
      <w:r w:rsidRPr="00A17410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،  مطالعه  مطالب   ترمهای قبل،  انجام تکالیف  محوله  ( ارائه کیسها، مطالعه مناسب)  در قالب پورت فولیو، مهارتهای لازم درخصوص  آموزش و مدیریت مشکلات  خانم های باردار، شرح حال</w:t>
      </w:r>
      <w:r w:rsidR="00A17410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 </w:t>
      </w:r>
      <w:r w:rsidRPr="00A17410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گیری مناسب، تفسیر درست آزمایشات ، سونوگرافی  ها و غربالگری ها، </w:t>
      </w:r>
    </w:p>
    <w:p w14:paraId="2B7D650D" w14:textId="77777777" w:rsidR="00993245" w:rsidRPr="00870116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77777777" w:rsidR="009958F7" w:rsidRPr="00870116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(تکوینی/تراکمی)                        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 w:rsidRPr="00870116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2A0BF8CE" w:rsidR="00993245" w:rsidRPr="00870116" w:rsidRDefault="00993245" w:rsidP="008D591E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8D591E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3BE09019" w14:textId="4B0F952F" w:rsidR="00993245" w:rsidRPr="00870116" w:rsidRDefault="00993245" w:rsidP="00AE0768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با لحاظ </w:t>
      </w:r>
      <w:r w:rsidR="00AE0768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کردن </w:t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سهم رعایت آیین</w:t>
      </w:r>
      <w:r w:rsidR="002473AC" w:rsidRPr="00870116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نامه </w:t>
      </w:r>
      <w:r w:rsidR="00AE0768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ابلاغی </w:t>
      </w:r>
      <w:r w:rsidR="008D591E" w:rsidRPr="00870116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پوشش حرفه ای</w:t>
      </w:r>
    </w:p>
    <w:p w14:paraId="3104E5A0" w14:textId="6DC4541A" w:rsidR="00993245" w:rsidRPr="006E3681" w:rsidRDefault="006E3681" w:rsidP="00A17410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حضور به موقع، رعا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ت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پوشش حرفه ا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،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رعا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ت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اصول اخلاق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و ارتباط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3 نمره. ارز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اب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 مح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ط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کار در ضمن و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ز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ت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A174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مادر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7 نمره. پورت فول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و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5 نمره.  دانش نظر</w:t>
      </w:r>
      <w:r w:rsidRPr="006E36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E368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5 نمره</w:t>
      </w:r>
    </w:p>
    <w:p w14:paraId="23E9FD19" w14:textId="77777777" w:rsidR="00993245" w:rsidRPr="00870116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1AA45F4A" w14:textId="6334532A" w:rsidR="00993245" w:rsidRDefault="00993245" w:rsidP="004E734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67083009" w14:textId="77777777" w:rsidR="004E7347" w:rsidRPr="004E7347" w:rsidRDefault="004E7347" w:rsidP="004E7347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Pr="004E73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4E7347">
        <w:rPr>
          <w:rFonts w:asciiTheme="majorBidi" w:hAnsiTheme="majorBidi" w:cs="B Nazanin"/>
          <w:sz w:val="24"/>
          <w:szCs w:val="24"/>
          <w:lang w:bidi="fa-IR"/>
        </w:rPr>
        <w:t xml:space="preserve">William Obstetrics (2018) </w:t>
      </w:r>
    </w:p>
    <w:p w14:paraId="4027C906" w14:textId="77777777" w:rsidR="004E7347" w:rsidRPr="004E7347" w:rsidRDefault="004E7347" w:rsidP="004E734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4E7347">
        <w:rPr>
          <w:rFonts w:asciiTheme="majorBidi" w:hAnsiTheme="majorBidi" w:cs="B Nazanin" w:hint="cs"/>
          <w:sz w:val="24"/>
          <w:szCs w:val="24"/>
          <w:rtl/>
          <w:lang w:bidi="fa-IR"/>
        </w:rPr>
        <w:t>وب سایت:</w:t>
      </w:r>
      <w:r w:rsidRPr="004E7347">
        <w:rPr>
          <w:rFonts w:asciiTheme="majorBidi" w:hAnsiTheme="majorBidi" w:cs="B Nazanin"/>
          <w:sz w:val="24"/>
          <w:szCs w:val="24"/>
          <w:lang w:bidi="fa-IR"/>
        </w:rPr>
        <w:t xml:space="preserve">www.UpToDate.com; www. Healthline.com; </w:t>
      </w:r>
      <w:hyperlink r:id="rId9" w:history="1">
        <w:r w:rsidRPr="004E7347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www.WebMed.com</w:t>
        </w:r>
      </w:hyperlink>
      <w:r w:rsidRPr="004E7347">
        <w:rPr>
          <w:rFonts w:asciiTheme="majorBidi" w:hAnsiTheme="majorBidi" w:cs="B Nazanin"/>
          <w:sz w:val="24"/>
          <w:szCs w:val="24"/>
          <w:lang w:bidi="fa-IR"/>
        </w:rPr>
        <w:t>; www.mayoclinic.com  .</w:t>
      </w:r>
      <w:r w:rsidRPr="004E73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بست به موضوع در مورد وبسایتهای احتصاصی در هر جلسه راهنمایی میشود</w:t>
      </w:r>
    </w:p>
    <w:p w14:paraId="143C9015" w14:textId="6579C273" w:rsidR="004E7347" w:rsidRPr="00870116" w:rsidRDefault="004E7347" w:rsidP="004E734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4E734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4E734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4E7347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4E7347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Pr="004E73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مقالات </w:t>
      </w:r>
      <w:r w:rsidRPr="004E7347">
        <w:rPr>
          <w:rFonts w:asciiTheme="majorBidi" w:hAnsiTheme="majorBidi" w:cs="B Nazanin"/>
          <w:sz w:val="24"/>
          <w:szCs w:val="24"/>
          <w:lang w:bidi="fa-IR"/>
        </w:rPr>
        <w:t>Google Scholar</w:t>
      </w:r>
    </w:p>
    <w:p w14:paraId="2EE86723" w14:textId="77777777" w:rsidR="00993245" w:rsidRPr="00870116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     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F7BFF51" w14:textId="18EE37F5" w:rsidR="00AE0768" w:rsidRPr="004E7347" w:rsidRDefault="00993245" w:rsidP="004E734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D2D0AFF" w14:textId="2FDAFF2C" w:rsidR="00993245" w:rsidRPr="00870116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77777777" w:rsidR="00993245" w:rsidRPr="00870116" w:rsidRDefault="00993245" w:rsidP="00993245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70116">
        <w:rPr>
          <w:rFonts w:ascii="Times New Roman" w:hAnsi="Times New Roman" w:cs="B Nazanin" w:hint="cs"/>
          <w:sz w:val="24"/>
          <w:szCs w:val="24"/>
          <w:rtl/>
        </w:rPr>
        <w:t>خواهشمند است جدول زیر به دقت تکمیل شود. برخی خانه</w:t>
      </w:r>
      <w:r w:rsidRPr="00870116">
        <w:rPr>
          <w:rFonts w:ascii="Times New Roman" w:hAnsi="Times New Roman" w:cs="B Nazanin" w:hint="cs"/>
          <w:sz w:val="24"/>
          <w:szCs w:val="24"/>
          <w:rtl/>
        </w:rPr>
        <w:softHyphen/>
        <w:t>های جدول به صورت فرضی و تنها برای مثال، تکمیل شده</w:t>
      </w:r>
      <w:r w:rsidRPr="00870116">
        <w:rPr>
          <w:rFonts w:ascii="Times New Roman" w:hAnsi="Times New Roman" w:cs="B Nazanin"/>
          <w:sz w:val="24"/>
          <w:szCs w:val="24"/>
          <w:rtl/>
        </w:rPr>
        <w:softHyphen/>
      </w:r>
      <w:r w:rsidRPr="00870116">
        <w:rPr>
          <w:rFonts w:ascii="Times New Roman" w:hAnsi="Times New Roman" w:cs="B Nazanin" w:hint="cs"/>
          <w:sz w:val="24"/>
          <w:szCs w:val="24"/>
          <w:rtl/>
        </w:rPr>
        <w:t xml:space="preserve">اند. </w:t>
      </w: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1322"/>
        <w:gridCol w:w="1342"/>
        <w:gridCol w:w="1353"/>
        <w:gridCol w:w="1340"/>
        <w:gridCol w:w="1377"/>
        <w:gridCol w:w="1283"/>
      </w:tblGrid>
      <w:tr w:rsidR="00993245" w:rsidRPr="00870116" w14:paraId="5CFA60D5" w14:textId="77777777" w:rsidTr="004E7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9EE4780" w14:textId="77777777" w:rsidR="00993245" w:rsidRPr="00870116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345" w:type="dxa"/>
          </w:tcPr>
          <w:p w14:paraId="3539D5BD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58" w:type="dxa"/>
          </w:tcPr>
          <w:p w14:paraId="06C97E25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70" w:type="dxa"/>
          </w:tcPr>
          <w:p w14:paraId="7AF8F3AE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6" w:type="dxa"/>
          </w:tcPr>
          <w:p w14:paraId="3BA95ACA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سه</w:t>
            </w: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388" w:type="dxa"/>
          </w:tcPr>
          <w:p w14:paraId="6B0CC588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305" w:type="dxa"/>
          </w:tcPr>
          <w:p w14:paraId="6402DD8D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پنج</w:t>
            </w:r>
            <w:r w:rsidRPr="00870116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</w:tr>
      <w:tr w:rsidR="004E7347" w:rsidRPr="00870116" w14:paraId="05BE9E6B" w14:textId="77777777" w:rsidTr="004E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0C61B9D4" w14:textId="77777777" w:rsidR="004E7347" w:rsidRPr="00870116" w:rsidRDefault="004E7347" w:rsidP="004E7347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45" w:type="dxa"/>
          </w:tcPr>
          <w:p w14:paraId="1C22A374" w14:textId="1F3C7166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77E55DC6" w14:textId="111CF700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14:paraId="354B5D75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782CC38E" w14:textId="3414B756" w:rsidR="004E7347" w:rsidRPr="00DB21B3" w:rsidRDefault="004E7347" w:rsidP="004E73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 xml:space="preserve">- </w:t>
            </w:r>
            <w:r w:rsidR="00A1741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مرور مباح</w:t>
            </w:r>
            <w:r w:rsidRPr="00DB21B3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ث ضروری مرتبط با مشاوره ها</w:t>
            </w:r>
          </w:p>
          <w:p w14:paraId="5303C8FD" w14:textId="2AEE3BFC" w:rsidR="004E7347" w:rsidRPr="00870116" w:rsidRDefault="004E7347" w:rsidP="00A174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DB21B3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- ویزیت </w:t>
            </w:r>
            <w:r w:rsidR="00A1741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مادران</w:t>
            </w:r>
          </w:p>
        </w:tc>
        <w:tc>
          <w:tcPr>
            <w:tcW w:w="1388" w:type="dxa"/>
          </w:tcPr>
          <w:p w14:paraId="71AC7879" w14:textId="7834785A" w:rsidR="004E7347" w:rsidRPr="00DB21B3" w:rsidRDefault="004E7347" w:rsidP="004E73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 xml:space="preserve">- </w:t>
            </w:r>
            <w:r w:rsidR="00A1741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مرور مباح</w:t>
            </w:r>
            <w:r w:rsidRPr="00DB21B3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ث ضروری مرتبط با مشاوره ها</w:t>
            </w:r>
          </w:p>
          <w:p w14:paraId="53427F14" w14:textId="06AAC470" w:rsidR="004E7347" w:rsidRPr="00870116" w:rsidRDefault="004E7347" w:rsidP="00A174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DB21B3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- ویزیت </w:t>
            </w:r>
            <w:r w:rsidR="00A17410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مادران</w:t>
            </w:r>
          </w:p>
        </w:tc>
        <w:tc>
          <w:tcPr>
            <w:tcW w:w="1305" w:type="dxa"/>
          </w:tcPr>
          <w:p w14:paraId="3912150E" w14:textId="6CD72AF2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</w:tr>
      <w:tr w:rsidR="00993245" w:rsidRPr="00870116" w14:paraId="134EB315" w14:textId="77777777" w:rsidTr="004E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7CD02AA9" w14:textId="212D3E3B" w:rsidR="00993245" w:rsidRPr="00870116" w:rsidRDefault="00AE0768" w:rsidP="00AB06BF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استاد </w:t>
            </w:r>
            <w:r w:rsidR="00993245" w:rsidRPr="00870116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345" w:type="dxa"/>
          </w:tcPr>
          <w:p w14:paraId="590193A6" w14:textId="5FB927B0" w:rsidR="00993245" w:rsidRPr="00870116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2C8A23B1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14:paraId="4A8815B7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61B5F435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</w:tcPr>
          <w:p w14:paraId="1C667038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05" w:type="dxa"/>
          </w:tcPr>
          <w:p w14:paraId="20EBDB74" w14:textId="77777777" w:rsidR="00993245" w:rsidRPr="00870116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</w:tr>
      <w:tr w:rsidR="004E7347" w:rsidRPr="00870116" w14:paraId="0D41AD95" w14:textId="77777777" w:rsidTr="004E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4D38DA1C" w14:textId="77777777" w:rsidR="004E7347" w:rsidRPr="00870116" w:rsidRDefault="004E7347" w:rsidP="004E7347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زمان انجام فعالیت </w:t>
            </w:r>
          </w:p>
        </w:tc>
        <w:tc>
          <w:tcPr>
            <w:tcW w:w="1345" w:type="dxa"/>
          </w:tcPr>
          <w:p w14:paraId="191447D4" w14:textId="6FDE65B0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3A1459D2" w14:textId="6FD8EBE3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14:paraId="39C6A3E8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0E72C851" w14:textId="77777777" w:rsidR="004E7347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9:30-8:00</w:t>
            </w:r>
          </w:p>
          <w:p w14:paraId="148AD439" w14:textId="647B7336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13:00-9:30</w:t>
            </w:r>
          </w:p>
        </w:tc>
        <w:tc>
          <w:tcPr>
            <w:tcW w:w="1388" w:type="dxa"/>
          </w:tcPr>
          <w:p w14:paraId="6EFFC9C3" w14:textId="77777777" w:rsidR="004E7347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9:30-8:00</w:t>
            </w:r>
          </w:p>
          <w:p w14:paraId="2CFC597D" w14:textId="65EC344D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13:00-9:30</w:t>
            </w:r>
          </w:p>
        </w:tc>
        <w:tc>
          <w:tcPr>
            <w:tcW w:w="1305" w:type="dxa"/>
          </w:tcPr>
          <w:p w14:paraId="285CDAC6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</w:p>
        </w:tc>
      </w:tr>
      <w:tr w:rsidR="004E7347" w:rsidRPr="00870116" w14:paraId="04907AD1" w14:textId="77777777" w:rsidTr="004E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BACE3D4" w14:textId="77777777" w:rsidR="004E7347" w:rsidRPr="00870116" w:rsidRDefault="004E7347" w:rsidP="004E7347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70116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345" w:type="dxa"/>
          </w:tcPr>
          <w:p w14:paraId="22AD066C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62DC1EDF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14:paraId="31992F59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522646C8" w14:textId="5A3EAC01" w:rsidR="004E7347" w:rsidRDefault="004E7347" w:rsidP="004E7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>امکانات معمول درمانگاه پ</w:t>
            </w:r>
            <w:r>
              <w:rPr>
                <w:rFonts w:ascii="Times New Roman" w:hAnsi="Times New Roman" w:cs="B Nazanin" w:hint="cs"/>
                <w:sz w:val="18"/>
                <w:szCs w:val="24"/>
                <w:rtl/>
              </w:rPr>
              <w:t xml:space="preserve">ره ناتالوژی مانند سونی کیت و. تخت، فشار سنج و گوشی، وزنه،متر </w:t>
            </w:r>
          </w:p>
          <w:p w14:paraId="5CBA371B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14:paraId="6EE0F57A" w14:textId="6E46D3F2" w:rsidR="004E7347" w:rsidRPr="00870116" w:rsidRDefault="004E7347" w:rsidP="004E7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</w:rPr>
            </w:pPr>
            <w:r w:rsidRPr="004E7347">
              <w:rPr>
                <w:rFonts w:ascii="Times New Roman" w:hAnsi="Times New Roman" w:cs="B Nazanin" w:hint="cs"/>
                <w:sz w:val="24"/>
                <w:szCs w:val="24"/>
                <w:rtl/>
              </w:rPr>
              <w:t>امکانات معمول درمانگاه پره ناتالوژی مانند سونی کیت و. تخت، فشار سنج و گوشی، وزنه،متر</w:t>
            </w:r>
          </w:p>
        </w:tc>
        <w:tc>
          <w:tcPr>
            <w:tcW w:w="1305" w:type="dxa"/>
          </w:tcPr>
          <w:p w14:paraId="47362E06" w14:textId="77777777" w:rsidR="004E7347" w:rsidRPr="00870116" w:rsidRDefault="004E7347" w:rsidP="004E7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35C46736" w14:textId="77777777" w:rsidR="002F10FD" w:rsidRDefault="002F10FD" w:rsidP="002F10FD"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FC19A07" w14:textId="4BFCC67B" w:rsidR="00AE0768" w:rsidRDefault="00AE0768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3E139794" w14:textId="77777777" w:rsidR="004933D0" w:rsidRDefault="004933D0" w:rsidP="004933D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006F527C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4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8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3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5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6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7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10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3F39" w14:textId="77777777" w:rsidR="00D257C2" w:rsidRDefault="00D257C2" w:rsidP="00275357">
      <w:pPr>
        <w:spacing w:after="0" w:line="240" w:lineRule="auto"/>
      </w:pPr>
      <w:r>
        <w:separator/>
      </w:r>
    </w:p>
  </w:endnote>
  <w:endnote w:type="continuationSeparator" w:id="0">
    <w:p w14:paraId="0A2FE75E" w14:textId="77777777" w:rsidR="00D257C2" w:rsidRDefault="00D257C2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7F4425C3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410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B8FF0" w14:textId="77777777" w:rsidR="00D257C2" w:rsidRDefault="00D257C2" w:rsidP="00275357">
      <w:pPr>
        <w:spacing w:after="0" w:line="240" w:lineRule="auto"/>
      </w:pPr>
      <w:r>
        <w:separator/>
      </w:r>
    </w:p>
  </w:footnote>
  <w:footnote w:type="continuationSeparator" w:id="0">
    <w:p w14:paraId="3F431163" w14:textId="77777777" w:rsidR="00D257C2" w:rsidRDefault="00D257C2" w:rsidP="00275357">
      <w:pPr>
        <w:spacing w:after="0" w:line="240" w:lineRule="auto"/>
      </w:pPr>
      <w:r>
        <w:continuationSeparator/>
      </w:r>
    </w:p>
  </w:footnote>
  <w:footnote w:id="1">
    <w:p w14:paraId="5F6EF231" w14:textId="43CC66AF" w:rsidR="00173204" w:rsidRPr="00AE0768" w:rsidRDefault="00E82891" w:rsidP="00AE0768">
      <w:pPr>
        <w:pStyle w:val="FootnoteText"/>
        <w:rPr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</w:p>
  </w:footnote>
  <w:footnote w:id="2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3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4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5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6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7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8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9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0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1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3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4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5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6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7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3212B"/>
    <w:rsid w:val="002413C9"/>
    <w:rsid w:val="002473AC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5514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E7347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E1CED"/>
    <w:rsid w:val="006E3681"/>
    <w:rsid w:val="006E5367"/>
    <w:rsid w:val="006F1051"/>
    <w:rsid w:val="00711C82"/>
    <w:rsid w:val="007233B1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0116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591E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410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0768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294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257C2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42BF3AB5-05EE-49B2-8A7C-AACAA7B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bM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50F-610C-46F1-BFD2-B2BFB016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Mozhgan Hashemzadeh</cp:lastModifiedBy>
  <cp:revision>2</cp:revision>
  <cp:lastPrinted>2020-08-04T07:19:00Z</cp:lastPrinted>
  <dcterms:created xsi:type="dcterms:W3CDTF">2024-09-23T07:44:00Z</dcterms:created>
  <dcterms:modified xsi:type="dcterms:W3CDTF">2024-09-23T07:44:00Z</dcterms:modified>
</cp:coreProperties>
</file>